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4DB" w:rsidRDefault="008A04DB" w:rsidP="008A04DB">
      <w:pPr>
        <w:jc w:val="center"/>
        <w:rPr>
          <w:b/>
          <w:sz w:val="28"/>
          <w:szCs w:val="28"/>
        </w:rPr>
      </w:pPr>
      <w:r w:rsidRPr="008A04DB">
        <w:rPr>
          <w:b/>
          <w:sz w:val="28"/>
          <w:szCs w:val="28"/>
        </w:rPr>
        <w:t>Eckpunkte für die Stellungnahme</w:t>
      </w:r>
      <w:r>
        <w:rPr>
          <w:b/>
          <w:sz w:val="28"/>
          <w:szCs w:val="28"/>
        </w:rPr>
        <w:t xml:space="preserve"> </w:t>
      </w:r>
      <w:r w:rsidRPr="008A04DB">
        <w:rPr>
          <w:b/>
          <w:sz w:val="28"/>
          <w:szCs w:val="28"/>
        </w:rPr>
        <w:t>des</w:t>
      </w:r>
    </w:p>
    <w:p w:rsidR="008A04DB" w:rsidRPr="008A04DB" w:rsidRDefault="008A04DB" w:rsidP="008A04DB">
      <w:pPr>
        <w:jc w:val="center"/>
        <w:rPr>
          <w:b/>
          <w:sz w:val="28"/>
          <w:szCs w:val="28"/>
        </w:rPr>
      </w:pPr>
      <w:r w:rsidRPr="008A04DB">
        <w:rPr>
          <w:b/>
          <w:sz w:val="28"/>
          <w:szCs w:val="28"/>
        </w:rPr>
        <w:t xml:space="preserve"> Zweckverbands </w:t>
      </w:r>
      <w:r w:rsidR="007E21F6">
        <w:rPr>
          <w:b/>
          <w:sz w:val="28"/>
          <w:szCs w:val="28"/>
        </w:rPr>
        <w:t>LANDFOLGE</w:t>
      </w:r>
      <w:bookmarkStart w:id="0" w:name="_GoBack"/>
      <w:bookmarkEnd w:id="0"/>
      <w:r w:rsidRPr="008A04DB">
        <w:rPr>
          <w:b/>
          <w:sz w:val="28"/>
          <w:szCs w:val="28"/>
        </w:rPr>
        <w:t xml:space="preserve"> Garzweiler zur</w:t>
      </w:r>
    </w:p>
    <w:p w:rsidR="00905120" w:rsidRPr="008A04DB" w:rsidRDefault="00905120" w:rsidP="008A04DB">
      <w:pPr>
        <w:jc w:val="center"/>
        <w:rPr>
          <w:b/>
          <w:sz w:val="28"/>
          <w:szCs w:val="28"/>
        </w:rPr>
      </w:pPr>
      <w:r w:rsidRPr="008A04DB">
        <w:rPr>
          <w:b/>
          <w:sz w:val="28"/>
          <w:szCs w:val="28"/>
        </w:rPr>
        <w:t>Leitentscheidung</w:t>
      </w:r>
      <w:r w:rsidR="008A04DB" w:rsidRPr="008A04DB">
        <w:rPr>
          <w:b/>
          <w:sz w:val="28"/>
          <w:szCs w:val="28"/>
        </w:rPr>
        <w:t xml:space="preserve"> </w:t>
      </w:r>
      <w:r w:rsidRPr="008A04DB">
        <w:rPr>
          <w:b/>
          <w:sz w:val="28"/>
          <w:szCs w:val="28"/>
        </w:rPr>
        <w:t>„Neue Perspektiven für das Rheinische Revier“</w:t>
      </w:r>
    </w:p>
    <w:p w:rsidR="008A04DB" w:rsidRPr="0025754C" w:rsidRDefault="008A04DB"/>
    <w:p w:rsidR="00905120" w:rsidRPr="0025754C" w:rsidRDefault="00905120">
      <w:pPr>
        <w:rPr>
          <w:b/>
        </w:rPr>
      </w:pPr>
      <w:r w:rsidRPr="0025754C">
        <w:rPr>
          <w:b/>
        </w:rPr>
        <w:t>Grundsätzliches</w:t>
      </w:r>
    </w:p>
    <w:p w:rsidR="00FA27B4" w:rsidRPr="0025754C" w:rsidRDefault="00FA27B4" w:rsidP="00FA27B4">
      <w:r w:rsidRPr="0025754C">
        <w:t xml:space="preserve">Zielsetzung: </w:t>
      </w:r>
    </w:p>
    <w:p w:rsidR="00905120" w:rsidRPr="0025754C" w:rsidRDefault="00FA27B4" w:rsidP="00FA27B4">
      <w:pPr>
        <w:pStyle w:val="Listenabsatz"/>
        <w:numPr>
          <w:ilvl w:val="0"/>
          <w:numId w:val="1"/>
        </w:numPr>
      </w:pPr>
      <w:r w:rsidRPr="0025754C">
        <w:t xml:space="preserve">Umsetzung Bericht der Kohlekommission </w:t>
      </w:r>
      <w:r w:rsidR="00312477" w:rsidRPr="0025754C">
        <w:t xml:space="preserve">und Kohleausstiegsgesetz </w:t>
      </w:r>
      <w:r w:rsidRPr="0025754C">
        <w:t xml:space="preserve">zur Umsetzung der Klimaschutzziele </w:t>
      </w:r>
    </w:p>
    <w:p w:rsidR="00FA27B4" w:rsidRPr="0025754C" w:rsidRDefault="00FA27B4" w:rsidP="00FA27B4">
      <w:pPr>
        <w:pStyle w:val="Listenabsatz"/>
        <w:numPr>
          <w:ilvl w:val="0"/>
          <w:numId w:val="1"/>
        </w:numPr>
      </w:pPr>
      <w:r w:rsidRPr="0025754C">
        <w:t>Schaffung von Verlässlichkeit und Planungssicherheit als Voraussetzung für regionale Entwicklung</w:t>
      </w:r>
    </w:p>
    <w:p w:rsidR="00FA27B4" w:rsidRPr="0025754C" w:rsidRDefault="00FA27B4" w:rsidP="00FA27B4">
      <w:pPr>
        <w:pStyle w:val="Listenabsatz"/>
        <w:numPr>
          <w:ilvl w:val="0"/>
          <w:numId w:val="1"/>
        </w:numPr>
      </w:pPr>
      <w:r w:rsidRPr="0025754C">
        <w:t>Reduzierung negativer Auswirkungen</w:t>
      </w:r>
    </w:p>
    <w:p w:rsidR="0025754C" w:rsidRPr="005907E8" w:rsidRDefault="00FA27B4" w:rsidP="005907E8">
      <w:pPr>
        <w:pStyle w:val="Listenabsatz"/>
        <w:numPr>
          <w:ilvl w:val="0"/>
          <w:numId w:val="1"/>
        </w:numPr>
      </w:pPr>
      <w:r w:rsidRPr="0025754C">
        <w:t xml:space="preserve">Kompensation </w:t>
      </w:r>
      <w:r w:rsidR="00423240" w:rsidRPr="0025754C">
        <w:t>von Betroffenheit</w:t>
      </w:r>
      <w:r w:rsidR="005907E8">
        <w:t>: l</w:t>
      </w:r>
      <w:r w:rsidR="0025754C" w:rsidRPr="005907E8">
        <w:t xml:space="preserve">ängste Betroffenheit </w:t>
      </w:r>
      <w:r w:rsidR="00196696" w:rsidRPr="005907E8">
        <w:t xml:space="preserve">der Tagebauanrainer </w:t>
      </w:r>
      <w:r w:rsidR="0025754C" w:rsidRPr="005907E8">
        <w:t xml:space="preserve">aufgrund der Laufzeit am Tagebau Garzweiler gegeben. </w:t>
      </w:r>
      <w:r w:rsidR="00196696" w:rsidRPr="005907E8">
        <w:t>In diesem Zusammenhang gilt es zu berücksichtigen, dass der derzeit definierte Zeitraum für die Verteilung von Fördermittel im Rahmen des Strukturwandelprozesses im Jah</w:t>
      </w:r>
      <w:r w:rsidR="00EF357D">
        <w:t>r 2038 endet.</w:t>
      </w:r>
    </w:p>
    <w:p w:rsidR="00A651C7" w:rsidRDefault="00616E97" w:rsidP="00FA27B4">
      <w:pPr>
        <w:pStyle w:val="Listenabsatz"/>
        <w:numPr>
          <w:ilvl w:val="0"/>
          <w:numId w:val="1"/>
        </w:numPr>
      </w:pPr>
      <w:r w:rsidRPr="005907E8">
        <w:t>Aufnahme zusätzliche Planungswerkzeuge durch Landesregierung (bessere Verzahnung Raumplanung und Braunkohlenplanung) wird begrüßt</w:t>
      </w:r>
      <w:r w:rsidR="00A651C7" w:rsidRPr="00A651C7">
        <w:t xml:space="preserve"> </w:t>
      </w:r>
    </w:p>
    <w:p w:rsidR="00A651C7" w:rsidRPr="0025754C" w:rsidRDefault="00A651C7" w:rsidP="00A651C7">
      <w:pPr>
        <w:pStyle w:val="Listenabsatz"/>
        <w:numPr>
          <w:ilvl w:val="0"/>
          <w:numId w:val="1"/>
        </w:numPr>
      </w:pPr>
      <w:r w:rsidRPr="0025754C">
        <w:t>Langfristige Absicherung der Rekultivierung und Folgekosten durch sofortige Einrichtung eines auf Verpflichtungen ausgerichteten Fonds (o.ä.)</w:t>
      </w:r>
      <w:r>
        <w:t xml:space="preserve">: eigener </w:t>
      </w:r>
      <w:r w:rsidRPr="005907E8">
        <w:t>Entscheidungssatz</w:t>
      </w:r>
      <w:r>
        <w:t xml:space="preserve"> 15</w:t>
      </w:r>
      <w:r w:rsidRPr="00A651C7">
        <w:t xml:space="preserve"> </w:t>
      </w:r>
    </w:p>
    <w:p w:rsidR="00A651C7" w:rsidRDefault="00A651C7">
      <w:pPr>
        <w:rPr>
          <w:b/>
        </w:rPr>
      </w:pPr>
    </w:p>
    <w:p w:rsidR="00905120" w:rsidRPr="0025754C" w:rsidRDefault="00905120">
      <w:pPr>
        <w:rPr>
          <w:b/>
        </w:rPr>
      </w:pPr>
      <w:r w:rsidRPr="0025754C">
        <w:rPr>
          <w:b/>
        </w:rPr>
        <w:t>Raumentwicklung für die Zukunft</w:t>
      </w:r>
    </w:p>
    <w:p w:rsidR="001719C3" w:rsidRPr="0025754C" w:rsidRDefault="001719C3"/>
    <w:p w:rsidR="00905120" w:rsidRPr="0025754C" w:rsidRDefault="00905120">
      <w:pPr>
        <w:rPr>
          <w:u w:val="single"/>
        </w:rPr>
      </w:pPr>
      <w:r w:rsidRPr="0025754C">
        <w:rPr>
          <w:u w:val="single"/>
        </w:rPr>
        <w:t>Entscheidungssatz 1: Zukunftsräume für Region und Kommunen</w:t>
      </w:r>
    </w:p>
    <w:p w:rsidR="00905120" w:rsidRPr="0025754C" w:rsidRDefault="00312477" w:rsidP="00312477">
      <w:pPr>
        <w:pStyle w:val="Listenabsatz"/>
        <w:numPr>
          <w:ilvl w:val="0"/>
          <w:numId w:val="2"/>
        </w:numPr>
      </w:pPr>
      <w:r w:rsidRPr="0025754C">
        <w:t>Zustimmung</w:t>
      </w:r>
    </w:p>
    <w:p w:rsidR="00312477" w:rsidRPr="0025754C" w:rsidRDefault="00312477" w:rsidP="00312477">
      <w:pPr>
        <w:pStyle w:val="Listenabsatz"/>
        <w:numPr>
          <w:ilvl w:val="0"/>
          <w:numId w:val="2"/>
        </w:numPr>
      </w:pPr>
      <w:r w:rsidRPr="0025754C">
        <w:t>Fokus auf Betriebsanlagen benachteiligt jedoch die zuletzt besonders betroffenen Anrainerkommunen</w:t>
      </w:r>
    </w:p>
    <w:p w:rsidR="009253EA" w:rsidRDefault="0025754C" w:rsidP="00825956">
      <w:pPr>
        <w:pStyle w:val="Listenabsatz"/>
        <w:numPr>
          <w:ilvl w:val="0"/>
          <w:numId w:val="2"/>
        </w:numPr>
      </w:pPr>
      <w:r w:rsidRPr="005907E8">
        <w:t xml:space="preserve">Die </w:t>
      </w:r>
      <w:r w:rsidR="009253EA" w:rsidRPr="005907E8">
        <w:t>Organisation</w:t>
      </w:r>
      <w:r w:rsidRPr="005907E8">
        <w:t>en, die den planerischen Rahmen schaffen sollen bzw. bei der Umsetzung unterstützen, sollen namentlich genannt werden (Land, Bez. Reg.)</w:t>
      </w:r>
      <w:r w:rsidR="009253EA" w:rsidRPr="005907E8">
        <w:t xml:space="preserve"> </w:t>
      </w:r>
    </w:p>
    <w:p w:rsidR="00A651C7" w:rsidRPr="005907E8" w:rsidRDefault="00A651C7" w:rsidP="00825956">
      <w:pPr>
        <w:pStyle w:val="Listenabsatz"/>
        <w:numPr>
          <w:ilvl w:val="0"/>
          <w:numId w:val="2"/>
        </w:numPr>
      </w:pPr>
      <w:r>
        <w:t xml:space="preserve">ZV </w:t>
      </w:r>
      <w:proofErr w:type="spellStart"/>
      <w:r>
        <w:t>LandFOLGE</w:t>
      </w:r>
      <w:proofErr w:type="spellEnd"/>
      <w:r>
        <w:t xml:space="preserve"> Garzweiler nimmt die Aufgabe gerne an, den Strukturwandel zu gestalten</w:t>
      </w:r>
    </w:p>
    <w:p w:rsidR="001719C3" w:rsidRPr="0025754C" w:rsidRDefault="001719C3"/>
    <w:p w:rsidR="00905120" w:rsidRPr="0025754C" w:rsidRDefault="00905120">
      <w:pPr>
        <w:rPr>
          <w:u w:val="single"/>
        </w:rPr>
      </w:pPr>
      <w:r w:rsidRPr="0025754C">
        <w:rPr>
          <w:u w:val="single"/>
        </w:rPr>
        <w:t>Entscheidungssatz 2: Energieregion der Zukunft, Mobilitätsregion der Zukunft, Wiederherstellung landwirtschaftlicher Nutzungen</w:t>
      </w:r>
    </w:p>
    <w:p w:rsidR="00905120" w:rsidRPr="0025754C" w:rsidRDefault="00D94974" w:rsidP="0077690F">
      <w:pPr>
        <w:pStyle w:val="Listenabsatz"/>
        <w:numPr>
          <w:ilvl w:val="0"/>
          <w:numId w:val="3"/>
        </w:numPr>
      </w:pPr>
      <w:r w:rsidRPr="0025754C">
        <w:t>Zustimmung</w:t>
      </w:r>
    </w:p>
    <w:p w:rsidR="00D94974" w:rsidRPr="0025754C" w:rsidRDefault="00D94974" w:rsidP="00D94974">
      <w:pPr>
        <w:pStyle w:val="Listenabsatz"/>
        <w:numPr>
          <w:ilvl w:val="0"/>
          <w:numId w:val="3"/>
        </w:numPr>
      </w:pPr>
      <w:r w:rsidRPr="0025754C">
        <w:t>Fahrradverkehrs als wichtigen Baustein erwähnen!</w:t>
      </w:r>
    </w:p>
    <w:p w:rsidR="00D94974" w:rsidRPr="0025754C" w:rsidRDefault="00D94974" w:rsidP="00D94974">
      <w:pPr>
        <w:pStyle w:val="Listenabsatz"/>
        <w:numPr>
          <w:ilvl w:val="0"/>
          <w:numId w:val="3"/>
        </w:numPr>
      </w:pPr>
      <w:r w:rsidRPr="0025754C">
        <w:t>Innovationen im Bereich Landwirtschaft fordern: neue wirtschaftliche Perspektiven, regionale Wertschöpfung, Klimaschutz, Biodiversität</w:t>
      </w:r>
    </w:p>
    <w:p w:rsidR="007356D3" w:rsidRPr="0025754C" w:rsidRDefault="007356D3">
      <w:pPr>
        <w:rPr>
          <w:b/>
        </w:rPr>
      </w:pPr>
    </w:p>
    <w:p w:rsidR="001719C3" w:rsidRPr="0025754C" w:rsidRDefault="001719C3">
      <w:pPr>
        <w:rPr>
          <w:b/>
        </w:rPr>
      </w:pPr>
    </w:p>
    <w:p w:rsidR="00825956" w:rsidRPr="0025754C" w:rsidRDefault="00825956">
      <w:pPr>
        <w:rPr>
          <w:b/>
        </w:rPr>
      </w:pPr>
    </w:p>
    <w:p w:rsidR="00825956" w:rsidRPr="0025754C" w:rsidRDefault="00825956">
      <w:pPr>
        <w:rPr>
          <w:b/>
        </w:rPr>
      </w:pPr>
    </w:p>
    <w:p w:rsidR="00825956" w:rsidRPr="0025754C" w:rsidRDefault="00825956">
      <w:pPr>
        <w:rPr>
          <w:b/>
        </w:rPr>
      </w:pPr>
    </w:p>
    <w:p w:rsidR="00905120" w:rsidRPr="005907E8" w:rsidRDefault="00905120">
      <w:pPr>
        <w:rPr>
          <w:b/>
        </w:rPr>
      </w:pPr>
      <w:r w:rsidRPr="0025754C">
        <w:rPr>
          <w:b/>
        </w:rPr>
        <w:t xml:space="preserve">Ein </w:t>
      </w:r>
      <w:r w:rsidRPr="005907E8">
        <w:rPr>
          <w:b/>
        </w:rPr>
        <w:t>früherer Ausstieg: Anpassungen in der Tagebauplanung</w:t>
      </w:r>
    </w:p>
    <w:p w:rsidR="00696486" w:rsidRPr="005907E8" w:rsidRDefault="00696486" w:rsidP="00696486">
      <w:pPr>
        <w:pStyle w:val="Listenabsatz"/>
        <w:numPr>
          <w:ilvl w:val="0"/>
          <w:numId w:val="12"/>
        </w:numPr>
      </w:pPr>
      <w:r w:rsidRPr="005907E8">
        <w:t>Klarstellung zu Jahresangabe in Überschrift 2.2.1 erforderlich</w:t>
      </w:r>
    </w:p>
    <w:p w:rsidR="0025754C" w:rsidRDefault="0025754C">
      <w:pPr>
        <w:rPr>
          <w:u w:val="single"/>
        </w:rPr>
      </w:pPr>
    </w:p>
    <w:p w:rsidR="00905120" w:rsidRPr="0025754C" w:rsidRDefault="00905120">
      <w:pPr>
        <w:rPr>
          <w:u w:val="single"/>
        </w:rPr>
      </w:pPr>
      <w:r w:rsidRPr="0025754C">
        <w:rPr>
          <w:u w:val="single"/>
        </w:rPr>
        <w:t>Entscheidungssatz 3: Planungshorizont mit Revisionszeitpunkten</w:t>
      </w:r>
    </w:p>
    <w:p w:rsidR="006B24CA" w:rsidRPr="0025754C" w:rsidRDefault="006B24CA" w:rsidP="006B24CA">
      <w:pPr>
        <w:pStyle w:val="Listenabsatz"/>
        <w:numPr>
          <w:ilvl w:val="0"/>
          <w:numId w:val="4"/>
        </w:numPr>
      </w:pPr>
      <w:r w:rsidRPr="0025754C">
        <w:t>Garzweiler trägt in den 30er Jahren Gesamtverantwortung für die Versorgung der verbleibenden Kraftwerksblöcke</w:t>
      </w:r>
    </w:p>
    <w:p w:rsidR="008A1869" w:rsidRPr="0025754C" w:rsidRDefault="006B24CA" w:rsidP="006B24CA">
      <w:pPr>
        <w:pStyle w:val="Listenabsatz"/>
        <w:numPr>
          <w:ilvl w:val="0"/>
          <w:numId w:val="4"/>
        </w:numPr>
      </w:pPr>
      <w:r w:rsidRPr="0025754C">
        <w:t>Zustimmung zum Prinzip der Revisionszeitpunkte</w:t>
      </w:r>
      <w:r w:rsidR="00A651C7">
        <w:t>; frühzeitige Einbindung des ZV vor 2026 erforderlich</w:t>
      </w:r>
    </w:p>
    <w:p w:rsidR="006B24CA" w:rsidRDefault="006B24CA" w:rsidP="006B24CA">
      <w:pPr>
        <w:pStyle w:val="Listenabsatz"/>
        <w:numPr>
          <w:ilvl w:val="0"/>
          <w:numId w:val="4"/>
        </w:numPr>
      </w:pPr>
      <w:r w:rsidRPr="0025754C">
        <w:t>Insgesamt muss die Planung und Tagebauführung daran orientiert sein, auf Veränderungen des Energiebedarfs oder andere politische Entscheidungen flexibel reagieren zu können</w:t>
      </w:r>
    </w:p>
    <w:p w:rsidR="00A651C7" w:rsidRPr="0025754C" w:rsidRDefault="00A651C7" w:rsidP="006B24CA">
      <w:pPr>
        <w:pStyle w:val="Listenabsatz"/>
        <w:numPr>
          <w:ilvl w:val="0"/>
          <w:numId w:val="4"/>
        </w:numPr>
      </w:pPr>
      <w:r>
        <w:t xml:space="preserve">Institutionelle Einbindung der </w:t>
      </w:r>
      <w:proofErr w:type="spellStart"/>
      <w:r>
        <w:t>Tagebauumfeldvebünde</w:t>
      </w:r>
      <w:proofErr w:type="spellEnd"/>
      <w:r>
        <w:t xml:space="preserve"> in den Braunkohlenausschuss wird gefordert</w:t>
      </w:r>
    </w:p>
    <w:p w:rsidR="001719C3" w:rsidRPr="0025754C" w:rsidRDefault="001719C3"/>
    <w:p w:rsidR="00905120" w:rsidRPr="0025754C" w:rsidRDefault="00905120">
      <w:pPr>
        <w:rPr>
          <w:u w:val="single"/>
        </w:rPr>
      </w:pPr>
      <w:r w:rsidRPr="0025754C">
        <w:rPr>
          <w:u w:val="single"/>
        </w:rPr>
        <w:t>Entscheidungssatz 4: Verbesserungen der Tagebauranddörfer Garzweiler II</w:t>
      </w:r>
    </w:p>
    <w:p w:rsidR="00A651C7" w:rsidRDefault="00A651C7" w:rsidP="00A651C7">
      <w:pPr>
        <w:pStyle w:val="Listenabsatz"/>
        <w:numPr>
          <w:ilvl w:val="0"/>
          <w:numId w:val="5"/>
        </w:numPr>
      </w:pPr>
      <w:r>
        <w:t>Negative Einflüsse des Tagebaus auf die Anrainer so weit wie möglich vermeiden:</w:t>
      </w:r>
    </w:p>
    <w:p w:rsidR="006B24CA" w:rsidRPr="005907E8" w:rsidRDefault="006B24CA" w:rsidP="00240798">
      <w:pPr>
        <w:pStyle w:val="Listenabsatz"/>
        <w:numPr>
          <w:ilvl w:val="1"/>
          <w:numId w:val="5"/>
        </w:numPr>
      </w:pPr>
      <w:r w:rsidRPr="005907E8">
        <w:t>Mindestens 500</w:t>
      </w:r>
      <w:r w:rsidR="00BF35CB" w:rsidRPr="005907E8">
        <w:t> </w:t>
      </w:r>
      <w:r w:rsidRPr="005907E8">
        <w:t>m Abstand aller Tagebauranddörfer</w:t>
      </w:r>
    </w:p>
    <w:p w:rsidR="00004B5A" w:rsidRPr="005907E8" w:rsidRDefault="00196696" w:rsidP="00240798">
      <w:pPr>
        <w:pStyle w:val="Listenabsatz"/>
        <w:numPr>
          <w:ilvl w:val="1"/>
          <w:numId w:val="5"/>
        </w:numPr>
      </w:pPr>
      <w:r w:rsidRPr="005907E8">
        <w:t xml:space="preserve">Eindeutige </w:t>
      </w:r>
      <w:r w:rsidR="00004B5A" w:rsidRPr="005907E8">
        <w:t>Definition „Wo beginnt die Ortschaft“ erforderlich</w:t>
      </w:r>
    </w:p>
    <w:p w:rsidR="008A1869" w:rsidRPr="005907E8" w:rsidRDefault="006B24CA" w:rsidP="00240798">
      <w:pPr>
        <w:pStyle w:val="Listenabsatz"/>
        <w:numPr>
          <w:ilvl w:val="1"/>
          <w:numId w:val="5"/>
        </w:numPr>
      </w:pPr>
      <w:r w:rsidRPr="005907E8">
        <w:t>Auch im Bereich bestehender Hauptbetriebspläne umzusetzen</w:t>
      </w:r>
      <w:r w:rsidR="0061193E" w:rsidRPr="005907E8">
        <w:t xml:space="preserve"> (Wanlo, Jackerath)</w:t>
      </w:r>
      <w:r w:rsidRPr="005907E8">
        <w:t xml:space="preserve">! </w:t>
      </w:r>
    </w:p>
    <w:p w:rsidR="00BF35CB" w:rsidRDefault="0061193E" w:rsidP="00240798">
      <w:pPr>
        <w:pStyle w:val="Listenabsatz"/>
        <w:numPr>
          <w:ilvl w:val="1"/>
          <w:numId w:val="5"/>
        </w:numPr>
      </w:pPr>
      <w:r w:rsidRPr="005907E8">
        <w:t xml:space="preserve">Zusätzlicher Emissionsschutz </w:t>
      </w:r>
      <w:r w:rsidR="00240798">
        <w:t xml:space="preserve">v.a. </w:t>
      </w:r>
      <w:r w:rsidRPr="005907E8">
        <w:t>in Hochneukirch!</w:t>
      </w:r>
    </w:p>
    <w:p w:rsidR="00240798" w:rsidRPr="005907E8" w:rsidRDefault="00240798" w:rsidP="00240798">
      <w:pPr>
        <w:pStyle w:val="Listenabsatz"/>
        <w:numPr>
          <w:ilvl w:val="1"/>
          <w:numId w:val="5"/>
        </w:numPr>
      </w:pPr>
      <w:r>
        <w:t>Definition „andere Maßnahmen!</w:t>
      </w:r>
    </w:p>
    <w:p w:rsidR="006B24CA" w:rsidRPr="005907E8" w:rsidRDefault="006B24CA" w:rsidP="00240798">
      <w:pPr>
        <w:pStyle w:val="Listenabsatz"/>
        <w:numPr>
          <w:ilvl w:val="1"/>
          <w:numId w:val="5"/>
        </w:numPr>
      </w:pPr>
      <w:r w:rsidRPr="005907E8">
        <w:t>Kompensationsmechanismus für Staubemissionen!</w:t>
      </w:r>
    </w:p>
    <w:p w:rsidR="002D5B20" w:rsidRPr="005907E8" w:rsidRDefault="002D5B20" w:rsidP="006B24CA">
      <w:pPr>
        <w:pStyle w:val="Listenabsatz"/>
        <w:numPr>
          <w:ilvl w:val="0"/>
          <w:numId w:val="5"/>
        </w:numPr>
      </w:pPr>
      <w:r w:rsidRPr="005907E8">
        <w:t>Verbesserung der Lebensqualität durch Förderung von Maßnahmen v.a. auch durch Strukturfördermittel (WSP)</w:t>
      </w:r>
    </w:p>
    <w:p w:rsidR="001719C3" w:rsidRPr="0025754C" w:rsidRDefault="001719C3"/>
    <w:p w:rsidR="00A54F70" w:rsidRPr="00A54F70" w:rsidRDefault="00905120" w:rsidP="00A54F70">
      <w:pPr>
        <w:rPr>
          <w:u w:val="single"/>
        </w:rPr>
      </w:pPr>
      <w:r w:rsidRPr="0025754C">
        <w:rPr>
          <w:u w:val="single"/>
        </w:rPr>
        <w:t>Entscheidungssatz 5: Inanspruchnahme und Rekultivierung von Garzweiler</w:t>
      </w:r>
    </w:p>
    <w:p w:rsidR="002D5B20" w:rsidRDefault="002D5B20" w:rsidP="00010049">
      <w:pPr>
        <w:pStyle w:val="Listenabsatz"/>
        <w:numPr>
          <w:ilvl w:val="0"/>
          <w:numId w:val="6"/>
        </w:numPr>
      </w:pPr>
      <w:r w:rsidRPr="0025754C">
        <w:t>Garzweiler I: Rekultivierungsplanung im Zusammenhang mit städtebaulicher Planung zur Erzielung von Synergien!</w:t>
      </w:r>
    </w:p>
    <w:p w:rsidR="00A54F70" w:rsidRDefault="00A54F70" w:rsidP="00010049">
      <w:pPr>
        <w:pStyle w:val="Listenabsatz"/>
        <w:numPr>
          <w:ilvl w:val="0"/>
          <w:numId w:val="6"/>
        </w:numPr>
      </w:pPr>
      <w:r>
        <w:t>Entwicklung auch im Innovation Valley (z.B. Gewerbegebiet Jackerath)</w:t>
      </w:r>
    </w:p>
    <w:p w:rsidR="00010049" w:rsidRPr="0025754C" w:rsidRDefault="00010049" w:rsidP="00010049">
      <w:pPr>
        <w:pStyle w:val="Listenabsatz"/>
        <w:numPr>
          <w:ilvl w:val="0"/>
          <w:numId w:val="6"/>
        </w:numPr>
      </w:pPr>
      <w:r w:rsidRPr="0025754C">
        <w:t xml:space="preserve">Prüfung eines alternativen Ausbaus der </w:t>
      </w:r>
      <w:r w:rsidR="00B4718F" w:rsidRPr="0025754C">
        <w:t xml:space="preserve">A46 und </w:t>
      </w:r>
      <w:r w:rsidRPr="0025754C">
        <w:t>A44n mit zusätzlichem Schallschutz und untergeordneten Straßennetz</w:t>
      </w:r>
    </w:p>
    <w:p w:rsidR="002D5B20" w:rsidRPr="00B3650C" w:rsidRDefault="002D5B20" w:rsidP="002D5B20">
      <w:pPr>
        <w:pStyle w:val="Listenabsatz"/>
        <w:numPr>
          <w:ilvl w:val="0"/>
          <w:numId w:val="6"/>
        </w:numPr>
      </w:pPr>
      <w:r w:rsidRPr="005907E8">
        <w:t>Bedarfsüberprü</w:t>
      </w:r>
      <w:r w:rsidR="00010049" w:rsidRPr="005907E8">
        <w:t xml:space="preserve">fung der A61n </w:t>
      </w:r>
      <w:r w:rsidR="00010049" w:rsidRPr="00B3650C">
        <w:t>bereits 2026</w:t>
      </w:r>
    </w:p>
    <w:p w:rsidR="00A54F70" w:rsidRPr="005907E8" w:rsidRDefault="00A54F70" w:rsidP="002D5B20">
      <w:pPr>
        <w:pStyle w:val="Listenabsatz"/>
        <w:numPr>
          <w:ilvl w:val="0"/>
          <w:numId w:val="6"/>
        </w:numPr>
      </w:pPr>
      <w:r w:rsidRPr="00B3650C">
        <w:t>Benennung der Ersatzstraße L354n/L277n: zügige</w:t>
      </w:r>
      <w:r>
        <w:t xml:space="preserve"> Umsetzung erforderlich</w:t>
      </w:r>
    </w:p>
    <w:p w:rsidR="00A54F70" w:rsidRPr="0025754C" w:rsidRDefault="00A54F70" w:rsidP="00A54F70">
      <w:pPr>
        <w:pStyle w:val="Listenabsatz"/>
        <w:numPr>
          <w:ilvl w:val="0"/>
          <w:numId w:val="6"/>
        </w:numPr>
      </w:pPr>
      <w:r>
        <w:t>Flurneuordnung als wichtiges Instrument bei der Umsetzung von Entwicklungszielen</w:t>
      </w:r>
    </w:p>
    <w:p w:rsidR="00B4718F" w:rsidRDefault="00B4718F" w:rsidP="002D5B20">
      <w:pPr>
        <w:pStyle w:val="Listenabsatz"/>
        <w:numPr>
          <w:ilvl w:val="0"/>
          <w:numId w:val="6"/>
        </w:numPr>
      </w:pPr>
      <w:r w:rsidRPr="005907E8">
        <w:t>Entwicklungsziele am östlichen Seeufer</w:t>
      </w:r>
      <w:r w:rsidR="0025754C" w:rsidRPr="005907E8">
        <w:t xml:space="preserve"> darf</w:t>
      </w:r>
      <w:r w:rsidRPr="005907E8">
        <w:t xml:space="preserve"> nicht auf landschaftsorientierte Erholung begrenzt</w:t>
      </w:r>
      <w:r w:rsidR="0025754C" w:rsidRPr="005907E8">
        <w:t xml:space="preserve"> sein</w:t>
      </w:r>
      <w:r w:rsidRPr="005907E8">
        <w:t>. Auch Siedlungsentwicklung soll grundsätzlich möglich sein.</w:t>
      </w:r>
    </w:p>
    <w:p w:rsidR="00A54F70" w:rsidRPr="005907E8" w:rsidRDefault="00A54F70" w:rsidP="002D5B20">
      <w:pPr>
        <w:pStyle w:val="Listenabsatz"/>
        <w:numPr>
          <w:ilvl w:val="0"/>
          <w:numId w:val="6"/>
        </w:numPr>
      </w:pPr>
      <w:r>
        <w:t xml:space="preserve">Bindungswirkung des Braunkohlenplans für die Fachplanungen </w:t>
      </w:r>
    </w:p>
    <w:p w:rsidR="007356D3" w:rsidRPr="0025754C" w:rsidRDefault="007356D3">
      <w:pPr>
        <w:rPr>
          <w:b/>
        </w:rPr>
      </w:pPr>
    </w:p>
    <w:p w:rsidR="00905120" w:rsidRPr="0025754C" w:rsidRDefault="008415DD">
      <w:pPr>
        <w:rPr>
          <w:b/>
        </w:rPr>
      </w:pPr>
      <w:r w:rsidRPr="0025754C">
        <w:rPr>
          <w:b/>
        </w:rPr>
        <w:lastRenderedPageBreak/>
        <w:t>Ein neuer Plan für das Tagebauende von Hambach</w:t>
      </w:r>
    </w:p>
    <w:p w:rsidR="008415DD" w:rsidRPr="0025754C" w:rsidRDefault="008415DD">
      <w:r w:rsidRPr="0025754C">
        <w:t>Die Entscheidung zum Erhalt des Hambacher Forstes führt zu einem erhöhten Beitrag des Tagebaus Garzweiler II für die Versorgung der Kraftwerke in den 20er Jahren und somit zur Umsiedlung mehrerer Dörfer in Erkelenz. Diese Prioritätensetzung der Kohlekommission und des Bundestages erfolgte jedoch ohne die Einbeziehung politischer Vertreter der betroffenen Landkreise, Kommunen bzw. der ortsansässigen Bürgerschaft. In der Kommission war bedauernswerterweise keine Vertretung des Bereichs Garzweiler gewährleistet.</w:t>
      </w:r>
    </w:p>
    <w:p w:rsidR="009C7A69" w:rsidRDefault="009C7A69">
      <w:pPr>
        <w:rPr>
          <w:u w:val="single"/>
        </w:rPr>
      </w:pPr>
    </w:p>
    <w:p w:rsidR="00515554" w:rsidRPr="00196696" w:rsidRDefault="00515554">
      <w:pPr>
        <w:rPr>
          <w:u w:val="single"/>
        </w:rPr>
      </w:pPr>
      <w:r w:rsidRPr="00196696">
        <w:rPr>
          <w:u w:val="single"/>
        </w:rPr>
        <w:t>Entscheidungssatz 7: Anpassung der Rekultivierung</w:t>
      </w:r>
    </w:p>
    <w:p w:rsidR="00515554" w:rsidRPr="0025754C" w:rsidRDefault="00515554" w:rsidP="00515554">
      <w:pPr>
        <w:pStyle w:val="Listenabsatz"/>
        <w:numPr>
          <w:ilvl w:val="0"/>
          <w:numId w:val="7"/>
        </w:numPr>
      </w:pPr>
      <w:r w:rsidRPr="0025754C">
        <w:t>Massentransfer aus Garzweiler darf zeitlich nicht zu Lasten de</w:t>
      </w:r>
      <w:r w:rsidR="00022BC1" w:rsidRPr="0025754C">
        <w:t>r Rekultivierung in Garzweiler</w:t>
      </w:r>
      <w:r w:rsidR="00A54F70">
        <w:t>, v.a. auch zu keinen weiteren Verzögerungen in Garzweiler I,</w:t>
      </w:r>
      <w:r w:rsidRPr="0025754C">
        <w:t xml:space="preserve"> führen. Alle geeigneten Massen müssen zuerst dort zum Einsatz kommen, damit kein weiterer Verzug entsteht (Vorrangregelung)</w:t>
      </w:r>
      <w:r w:rsidR="00022BC1" w:rsidRPr="0025754C">
        <w:t xml:space="preserve"> auch hinsichtlich der Qualität.</w:t>
      </w:r>
    </w:p>
    <w:p w:rsidR="007356D3" w:rsidRPr="0025754C" w:rsidRDefault="007356D3">
      <w:pPr>
        <w:rPr>
          <w:b/>
        </w:rPr>
      </w:pPr>
    </w:p>
    <w:p w:rsidR="00FA27B4" w:rsidRPr="0025754C" w:rsidRDefault="00FA27B4">
      <w:pPr>
        <w:rPr>
          <w:b/>
        </w:rPr>
      </w:pPr>
      <w:r w:rsidRPr="0025754C">
        <w:rPr>
          <w:b/>
        </w:rPr>
        <w:t xml:space="preserve">Wasserverhältnisse nach Tagebauende: Voraussetzung für eine gute Zukunft </w:t>
      </w:r>
    </w:p>
    <w:p w:rsidR="00E528C3" w:rsidRPr="0025754C" w:rsidRDefault="00E528C3">
      <w:r w:rsidRPr="0025754C">
        <w:t>Tagebaubetrieb beeinträchtigt zu jeder Zeit und bis in die längere Zukunft grundwasserabhängige Ökosysteme und Fließgewässer sowie die Trink- und Brauchwasserversorgung.</w:t>
      </w:r>
    </w:p>
    <w:p w:rsidR="008A1869" w:rsidRPr="00196696" w:rsidRDefault="008A1869">
      <w:pPr>
        <w:rPr>
          <w:u w:val="single"/>
        </w:rPr>
      </w:pPr>
      <w:r w:rsidRPr="00196696">
        <w:rPr>
          <w:u w:val="single"/>
        </w:rPr>
        <w:t>Entscheidungssatz 9: Anforderungen an Tagebauseen</w:t>
      </w:r>
    </w:p>
    <w:p w:rsidR="00447A9C" w:rsidRPr="005907E8" w:rsidRDefault="000251C2" w:rsidP="00347467">
      <w:pPr>
        <w:pStyle w:val="Listenabsatz"/>
        <w:numPr>
          <w:ilvl w:val="0"/>
          <w:numId w:val="7"/>
        </w:numPr>
      </w:pPr>
      <w:r w:rsidRPr="005907E8">
        <w:t xml:space="preserve">Die Formulierung </w:t>
      </w:r>
      <w:r w:rsidR="004B77C8" w:rsidRPr="005907E8">
        <w:t xml:space="preserve">„Befüllung der </w:t>
      </w:r>
      <w:proofErr w:type="spellStart"/>
      <w:r w:rsidR="004B77C8" w:rsidRPr="005907E8">
        <w:t>Restseen</w:t>
      </w:r>
      <w:proofErr w:type="spellEnd"/>
      <w:r w:rsidR="004B77C8" w:rsidRPr="005907E8">
        <w:t xml:space="preserve"> soll auf einen Zeitraum von </w:t>
      </w:r>
      <w:r w:rsidR="004B77C8" w:rsidRPr="005907E8">
        <w:rPr>
          <w:u w:val="single"/>
        </w:rPr>
        <w:t>möglichst</w:t>
      </w:r>
      <w:r w:rsidR="004B77C8" w:rsidRPr="005907E8">
        <w:t xml:space="preserve"> 40 Jahre nach Ende der Braunkohlenförderung im Tagebau ausgerichtet werden.“</w:t>
      </w:r>
      <w:r w:rsidRPr="005907E8">
        <w:t xml:space="preserve"> stellt eine Aufweichung der bisherigen Festlegung dar. Es darf k</w:t>
      </w:r>
      <w:r w:rsidR="00447A9C" w:rsidRPr="005907E8">
        <w:t>ein</w:t>
      </w:r>
      <w:r w:rsidRPr="005907E8">
        <w:t>en</w:t>
      </w:r>
      <w:r w:rsidR="00447A9C" w:rsidRPr="005907E8">
        <w:t xml:space="preserve"> zeitliche</w:t>
      </w:r>
      <w:r w:rsidRPr="005907E8">
        <w:t>n</w:t>
      </w:r>
      <w:r w:rsidR="00447A9C" w:rsidRPr="005907E8">
        <w:t xml:space="preserve"> Rückschritt gegenüber </w:t>
      </w:r>
      <w:r w:rsidRPr="005907E8">
        <w:t xml:space="preserve">der </w:t>
      </w:r>
      <w:r w:rsidR="00447A9C" w:rsidRPr="005907E8">
        <w:t>Leitentscheidung 2016</w:t>
      </w:r>
      <w:r w:rsidRPr="005907E8">
        <w:t xml:space="preserve"> geben.</w:t>
      </w:r>
    </w:p>
    <w:p w:rsidR="00E528C3" w:rsidRPr="0025754C" w:rsidRDefault="00E528C3" w:rsidP="00E528C3">
      <w:pPr>
        <w:pStyle w:val="Listenabsatz"/>
        <w:numPr>
          <w:ilvl w:val="0"/>
          <w:numId w:val="7"/>
        </w:numPr>
      </w:pPr>
      <w:r w:rsidRPr="0025754C">
        <w:t xml:space="preserve">40 Jahre </w:t>
      </w:r>
      <w:proofErr w:type="spellStart"/>
      <w:r w:rsidRPr="0025754C">
        <w:t>Flutungsdauer</w:t>
      </w:r>
      <w:proofErr w:type="spellEnd"/>
      <w:r w:rsidRPr="0025754C">
        <w:t xml:space="preserve"> ist kein überschaubarer Zeitraum und bietet keine akzeptable Perspektive!</w:t>
      </w:r>
    </w:p>
    <w:p w:rsidR="00E528C3" w:rsidRPr="00BC1A83" w:rsidRDefault="00C93205" w:rsidP="00E528C3">
      <w:pPr>
        <w:pStyle w:val="Listenabsatz"/>
        <w:numPr>
          <w:ilvl w:val="0"/>
          <w:numId w:val="7"/>
        </w:numPr>
      </w:pPr>
      <w:r w:rsidRPr="00BC1A83">
        <w:t>Entscheidung</w:t>
      </w:r>
      <w:r w:rsidR="00C34151">
        <w:t>s</w:t>
      </w:r>
      <w:r w:rsidR="009C7A69" w:rsidRPr="00BC1A83">
        <w:t>satz</w:t>
      </w:r>
      <w:r w:rsidR="00BC1A83" w:rsidRPr="00BC1A83">
        <w:t xml:space="preserve"> 2 der Leitentscheidung 2016 ist zu überprüfen</w:t>
      </w:r>
      <w:r w:rsidRPr="00BC1A83">
        <w:t xml:space="preserve"> </w:t>
      </w:r>
      <w:r w:rsidR="009C7A69" w:rsidRPr="00BC1A83">
        <w:t>und Erläuterungen zur</w:t>
      </w:r>
      <w:r w:rsidRPr="00BC1A83">
        <w:t xml:space="preserve"> Gestaltung des </w:t>
      </w:r>
      <w:r w:rsidR="009C7A69" w:rsidRPr="00BC1A83">
        <w:t>Rests</w:t>
      </w:r>
      <w:r w:rsidRPr="00BC1A83">
        <w:t>ee</w:t>
      </w:r>
      <w:r w:rsidR="009C7A69" w:rsidRPr="00BC1A83">
        <w:t xml:space="preserve">s Garzweiler </w:t>
      </w:r>
      <w:r w:rsidR="00BC1A83" w:rsidRPr="00BC1A83">
        <w:t xml:space="preserve">sind </w:t>
      </w:r>
      <w:r w:rsidR="009C7A69" w:rsidRPr="00BC1A83">
        <w:t xml:space="preserve">konkret </w:t>
      </w:r>
      <w:r w:rsidR="00BC1A83" w:rsidRPr="00BC1A83">
        <w:t xml:space="preserve">zu </w:t>
      </w:r>
      <w:r w:rsidR="009C7A69" w:rsidRPr="00BC1A83">
        <w:t>formulieren:</w:t>
      </w:r>
    </w:p>
    <w:p w:rsidR="00BC1A83" w:rsidRPr="00BC1A83" w:rsidRDefault="00BC1A83" w:rsidP="00BC1A83">
      <w:pPr>
        <w:pStyle w:val="Listenabsatz"/>
        <w:numPr>
          <w:ilvl w:val="1"/>
          <w:numId w:val="7"/>
        </w:numPr>
      </w:pPr>
      <w:r w:rsidRPr="00BC1A83">
        <w:t xml:space="preserve">Der Restsee ist ohne Kontakt zu </w:t>
      </w:r>
      <w:proofErr w:type="spellStart"/>
      <w:r w:rsidRPr="00BC1A83">
        <w:t>ungekalkten</w:t>
      </w:r>
      <w:proofErr w:type="spellEnd"/>
      <w:r w:rsidRPr="00BC1A83">
        <w:t xml:space="preserve"> </w:t>
      </w:r>
      <w:proofErr w:type="spellStart"/>
      <w:r w:rsidRPr="00BC1A83">
        <w:t>Kippenbereichen</w:t>
      </w:r>
      <w:proofErr w:type="spellEnd"/>
      <w:r w:rsidRPr="00BC1A83">
        <w:t xml:space="preserve"> auf der Grundlage eines noch zu erarbeitenden Masterplans zu planen.</w:t>
      </w:r>
    </w:p>
    <w:p w:rsidR="00BC1A83" w:rsidRPr="00BC1A83" w:rsidRDefault="00BC1A83" w:rsidP="009C7A69">
      <w:pPr>
        <w:pStyle w:val="Listenabsatz"/>
        <w:numPr>
          <w:ilvl w:val="1"/>
          <w:numId w:val="7"/>
        </w:numPr>
      </w:pPr>
      <w:r w:rsidRPr="00BC1A83">
        <w:t>Der Restsee ist dabei mit möglichst großer Tiefe zu planen.</w:t>
      </w:r>
    </w:p>
    <w:p w:rsidR="00BC1A83" w:rsidRPr="00BC1A83" w:rsidRDefault="00BC1A83" w:rsidP="009C7A69">
      <w:pPr>
        <w:pStyle w:val="Listenabsatz"/>
        <w:numPr>
          <w:ilvl w:val="1"/>
          <w:numId w:val="7"/>
        </w:numPr>
      </w:pPr>
      <w:r w:rsidRPr="00BC1A83">
        <w:t>Die Tagebauböschungen einschließlich der Restseeböschungen sind dauerhaft standsicher und nachnutzungsbezogen zu gestalten.</w:t>
      </w:r>
    </w:p>
    <w:p w:rsidR="00BC1A83" w:rsidRPr="00BC1A83" w:rsidRDefault="00BC1A83" w:rsidP="009C7A69">
      <w:pPr>
        <w:pStyle w:val="Listenabsatz"/>
        <w:numPr>
          <w:ilvl w:val="1"/>
          <w:numId w:val="7"/>
        </w:numPr>
      </w:pPr>
      <w:r w:rsidRPr="00BC1A83">
        <w:t xml:space="preserve">Der Abfluss des </w:t>
      </w:r>
      <w:proofErr w:type="spellStart"/>
      <w:r w:rsidRPr="00BC1A83">
        <w:t>Restsees</w:t>
      </w:r>
      <w:proofErr w:type="spellEnd"/>
      <w:r w:rsidRPr="00BC1A83">
        <w:t xml:space="preserve"> in die </w:t>
      </w:r>
      <w:proofErr w:type="spellStart"/>
      <w:r w:rsidRPr="00BC1A83">
        <w:t>Niers</w:t>
      </w:r>
      <w:proofErr w:type="spellEnd"/>
      <w:r w:rsidRPr="00BC1A83">
        <w:t xml:space="preserve"> ist dauerhaft zu sichern.</w:t>
      </w:r>
    </w:p>
    <w:p w:rsidR="004B77C8" w:rsidRPr="0025754C" w:rsidRDefault="004B77C8"/>
    <w:p w:rsidR="008A1869" w:rsidRPr="000251C2" w:rsidRDefault="008A1869">
      <w:pPr>
        <w:rPr>
          <w:u w:val="single"/>
        </w:rPr>
      </w:pPr>
      <w:r w:rsidRPr="000251C2">
        <w:rPr>
          <w:u w:val="single"/>
        </w:rPr>
        <w:t>Entscheidungssatz 10</w:t>
      </w:r>
      <w:r w:rsidR="00C93205" w:rsidRPr="000251C2">
        <w:rPr>
          <w:u w:val="single"/>
        </w:rPr>
        <w:t>:</w:t>
      </w:r>
      <w:r w:rsidRPr="000251C2">
        <w:rPr>
          <w:u w:val="single"/>
        </w:rPr>
        <w:t xml:space="preserve"> Nutzung von Rheinwasser für die </w:t>
      </w:r>
      <w:proofErr w:type="spellStart"/>
      <w:r w:rsidRPr="000251C2">
        <w:rPr>
          <w:u w:val="single"/>
        </w:rPr>
        <w:t>Restseebefüllung</w:t>
      </w:r>
      <w:proofErr w:type="spellEnd"/>
      <w:r w:rsidRPr="000251C2">
        <w:rPr>
          <w:u w:val="single"/>
        </w:rPr>
        <w:t xml:space="preserve"> von Garzweiler und Hambach</w:t>
      </w:r>
    </w:p>
    <w:p w:rsidR="00C93205" w:rsidRDefault="00C93205" w:rsidP="00C93205">
      <w:pPr>
        <w:pStyle w:val="Listenabsatz"/>
        <w:numPr>
          <w:ilvl w:val="0"/>
          <w:numId w:val="8"/>
        </w:numPr>
      </w:pPr>
      <w:r w:rsidRPr="0025754C">
        <w:t>Befüllung der Seen so schnell wie in Abhängigkeit des Wasserdargebots möglich ohne andere F</w:t>
      </w:r>
      <w:r w:rsidR="009451AD">
        <w:t xml:space="preserve">unktionen des Rheins und der </w:t>
      </w:r>
      <w:proofErr w:type="spellStart"/>
      <w:r w:rsidR="009451AD">
        <w:t>Ru</w:t>
      </w:r>
      <w:r w:rsidRPr="0025754C">
        <w:t>r</w:t>
      </w:r>
      <w:proofErr w:type="spellEnd"/>
      <w:r w:rsidRPr="0025754C">
        <w:t xml:space="preserve"> zu beeinträchtigen</w:t>
      </w:r>
    </w:p>
    <w:p w:rsidR="009451AD" w:rsidRPr="0025754C" w:rsidRDefault="009451AD" w:rsidP="00C93205">
      <w:pPr>
        <w:pStyle w:val="Listenabsatz"/>
        <w:numPr>
          <w:ilvl w:val="0"/>
          <w:numId w:val="8"/>
        </w:numPr>
      </w:pPr>
      <w:r>
        <w:t>Aktualisierung der Gutachten zur Wasserführung des Rheins vor dem Hintergrund des Klimawandels wird begrüßt</w:t>
      </w:r>
    </w:p>
    <w:p w:rsidR="00C93205" w:rsidRPr="0025754C" w:rsidRDefault="00C93205" w:rsidP="00C93205">
      <w:pPr>
        <w:pStyle w:val="Listenabsatz"/>
        <w:numPr>
          <w:ilvl w:val="0"/>
          <w:numId w:val="8"/>
        </w:numPr>
      </w:pPr>
      <w:r w:rsidRPr="0025754C">
        <w:t>Auslegung der Entnahmestellen und der Transportleitung zur Maximierung der Flutung bei ausreichenden Wasserständen im Rhein</w:t>
      </w:r>
    </w:p>
    <w:p w:rsidR="00BF3E40" w:rsidRPr="0025754C" w:rsidRDefault="00BF3E40" w:rsidP="00C93205">
      <w:pPr>
        <w:pStyle w:val="Listenabsatz"/>
        <w:numPr>
          <w:ilvl w:val="0"/>
          <w:numId w:val="8"/>
        </w:numPr>
      </w:pPr>
      <w:r w:rsidRPr="0025754C">
        <w:t>Größ</w:t>
      </w:r>
      <w:r w:rsidR="009451AD">
        <w:t>ere Dimensionierung wird gefordert</w:t>
      </w:r>
    </w:p>
    <w:p w:rsidR="00A34669" w:rsidRPr="0025754C" w:rsidRDefault="00A34669" w:rsidP="00C93205">
      <w:pPr>
        <w:pStyle w:val="Listenabsatz"/>
        <w:numPr>
          <w:ilvl w:val="0"/>
          <w:numId w:val="8"/>
        </w:numPr>
      </w:pPr>
      <w:r w:rsidRPr="0025754C">
        <w:t>Einbeziehung von Kosten der Leitungsherstellung als Aspekt eines „angemessenen Ausgleichs“ nicht akzeptabel</w:t>
      </w:r>
    </w:p>
    <w:p w:rsidR="00BF3E40" w:rsidRPr="0025754C" w:rsidRDefault="00BF3E40" w:rsidP="00C93205">
      <w:pPr>
        <w:pStyle w:val="Listenabsatz"/>
        <w:numPr>
          <w:ilvl w:val="0"/>
          <w:numId w:val="8"/>
        </w:numPr>
      </w:pPr>
      <w:r w:rsidRPr="0025754C">
        <w:lastRenderedPageBreak/>
        <w:t xml:space="preserve">Durch die frühere Flutung des Tagebaus Hambach </w:t>
      </w:r>
      <w:r w:rsidRPr="0025754C">
        <w:rPr>
          <w:u w:val="single"/>
        </w:rPr>
        <w:t xml:space="preserve">darf </w:t>
      </w:r>
      <w:r w:rsidRPr="0025754C">
        <w:t>es nicht zu einer Benachteiligung von Garzweiler kommen</w:t>
      </w:r>
      <w:r w:rsidR="00E21B58" w:rsidRPr="0025754C">
        <w:t>. Diese Textpassage sollte Bestandteil des Entscheidungssatzes sein und nicht „erst“ in den textlichen Erläuterungen aufgeführt werden.</w:t>
      </w:r>
    </w:p>
    <w:p w:rsidR="00640C2E" w:rsidRPr="0025754C" w:rsidRDefault="00640C2E" w:rsidP="00C93205">
      <w:pPr>
        <w:pStyle w:val="Listenabsatz"/>
        <w:numPr>
          <w:ilvl w:val="0"/>
          <w:numId w:val="8"/>
        </w:numPr>
      </w:pPr>
      <w:r w:rsidRPr="0025754C">
        <w:t>Planungen zur Befüllung von Tagebaurestsee Hambach sind nicht prioritär</w:t>
      </w:r>
      <w:r w:rsidR="00E21B58" w:rsidRPr="0025754C">
        <w:t xml:space="preserve"> zu betrachten</w:t>
      </w:r>
      <w:r w:rsidRPr="0025754C">
        <w:t>, sondern müssen</w:t>
      </w:r>
      <w:r w:rsidR="00E21B58" w:rsidRPr="0025754C">
        <w:t xml:space="preserve"> in einem ganzheitlichen Ansatz</w:t>
      </w:r>
      <w:r w:rsidRPr="0025754C">
        <w:t xml:space="preserve"> unter Berücksichtigung des Bedarfs </w:t>
      </w:r>
      <w:r w:rsidR="00E21B58" w:rsidRPr="0025754C">
        <w:t>zur Befüllung des</w:t>
      </w:r>
      <w:r w:rsidRPr="0025754C">
        <w:t xml:space="preserve"> Restsee</w:t>
      </w:r>
      <w:r w:rsidR="00E21B58" w:rsidRPr="0025754C">
        <w:t>s</w:t>
      </w:r>
      <w:r w:rsidRPr="0025754C">
        <w:t xml:space="preserve"> Tagebau Garzweiler </w:t>
      </w:r>
      <w:r w:rsidR="00E21B58" w:rsidRPr="0025754C">
        <w:t>sowie des Öko-, Ausgleichs- und Ersatzwasserbedarfs</w:t>
      </w:r>
      <w:r w:rsidRPr="0025754C">
        <w:t xml:space="preserve"> erfolgen.</w:t>
      </w:r>
    </w:p>
    <w:p w:rsidR="006D396A" w:rsidRPr="0025754C" w:rsidRDefault="006D396A" w:rsidP="00C93205">
      <w:pPr>
        <w:pStyle w:val="Listenabsatz"/>
        <w:numPr>
          <w:ilvl w:val="0"/>
          <w:numId w:val="8"/>
        </w:numPr>
      </w:pPr>
      <w:r w:rsidRPr="0025754C">
        <w:t xml:space="preserve">Monitoring wird begrüßt, sollte neben Wasserqualität auch Wassermenge umfassen </w:t>
      </w:r>
    </w:p>
    <w:p w:rsidR="008A1869" w:rsidRPr="0025754C" w:rsidRDefault="008A1869"/>
    <w:p w:rsidR="008A1869" w:rsidRPr="00F71583" w:rsidRDefault="008A1869">
      <w:pPr>
        <w:rPr>
          <w:u w:val="single"/>
        </w:rPr>
      </w:pPr>
      <w:r w:rsidRPr="00F71583">
        <w:rPr>
          <w:u w:val="single"/>
        </w:rPr>
        <w:t>Entscheidungssatz 11: Sicherer Bereitstellung von Trink-, Öko-, Ausgleichs- und Ersatzwasser</w:t>
      </w:r>
    </w:p>
    <w:p w:rsidR="008A1869" w:rsidRDefault="00B55DCE" w:rsidP="00B55DCE">
      <w:pPr>
        <w:pStyle w:val="Listenabsatz"/>
        <w:numPr>
          <w:ilvl w:val="0"/>
          <w:numId w:val="9"/>
        </w:numPr>
      </w:pPr>
      <w:r w:rsidRPr="0025754C">
        <w:t xml:space="preserve">Regelungen werden </w:t>
      </w:r>
      <w:r w:rsidR="009451AD">
        <w:t xml:space="preserve">grundsätzlich </w:t>
      </w:r>
      <w:r w:rsidRPr="0025754C">
        <w:t>begrüßt</w:t>
      </w:r>
    </w:p>
    <w:p w:rsidR="009451AD" w:rsidRPr="0025754C" w:rsidRDefault="009451AD" w:rsidP="00B55DCE">
      <w:pPr>
        <w:pStyle w:val="Listenabsatz"/>
        <w:numPr>
          <w:ilvl w:val="0"/>
          <w:numId w:val="9"/>
        </w:numPr>
      </w:pPr>
      <w:r>
        <w:t>Sichere Versorgung des nördlichen Reviers mit Trinkwasser in ausreichender Quantität und Qualität ebenfalls wichtiges Thema</w:t>
      </w:r>
    </w:p>
    <w:p w:rsidR="006D396A" w:rsidRPr="0025754C" w:rsidRDefault="006D396A" w:rsidP="00B55DCE"/>
    <w:p w:rsidR="00B55DCE" w:rsidRPr="00F71583" w:rsidRDefault="00B55DCE" w:rsidP="00B55DCE">
      <w:pPr>
        <w:rPr>
          <w:u w:val="single"/>
        </w:rPr>
      </w:pPr>
      <w:r w:rsidRPr="00F71583">
        <w:rPr>
          <w:u w:val="single"/>
        </w:rPr>
        <w:t>Entscheidungssatz 12: Umbau der Erft</w:t>
      </w:r>
    </w:p>
    <w:p w:rsidR="009451AD" w:rsidRDefault="009451AD" w:rsidP="00B55DCE">
      <w:pPr>
        <w:pStyle w:val="Listenabsatz"/>
        <w:numPr>
          <w:ilvl w:val="0"/>
          <w:numId w:val="9"/>
        </w:numPr>
      </w:pPr>
      <w:r>
        <w:t>Hydrologie und Fließgewässernetz ist insgesamt im Kontext der Regionalentwicklung bzw. des Strukturwandels ein wichtiges Thema</w:t>
      </w:r>
    </w:p>
    <w:p w:rsidR="00B55DCE" w:rsidRPr="0025754C" w:rsidRDefault="00B55DCE" w:rsidP="00B55DCE">
      <w:pPr>
        <w:pStyle w:val="Listenabsatz"/>
        <w:numPr>
          <w:ilvl w:val="0"/>
          <w:numId w:val="9"/>
        </w:numPr>
      </w:pPr>
      <w:r w:rsidRPr="0025754C">
        <w:t xml:space="preserve">Titel </w:t>
      </w:r>
      <w:r w:rsidRPr="00B3650C">
        <w:t>umbenennen in „Renaturierung</w:t>
      </w:r>
      <w:r w:rsidRPr="0025754C">
        <w:t xml:space="preserve"> der betroffenen Fließgewässer“</w:t>
      </w:r>
    </w:p>
    <w:p w:rsidR="00B55DCE" w:rsidRPr="0025754C" w:rsidRDefault="00B55DCE" w:rsidP="00B55DCE">
      <w:pPr>
        <w:pStyle w:val="Listenabsatz"/>
        <w:numPr>
          <w:ilvl w:val="0"/>
          <w:numId w:val="9"/>
        </w:numPr>
      </w:pPr>
      <w:r w:rsidRPr="0025754C">
        <w:t>Regelungen werden begrüßt</w:t>
      </w:r>
    </w:p>
    <w:p w:rsidR="006D396A" w:rsidRPr="005907E8" w:rsidRDefault="009451AD" w:rsidP="00B55DCE">
      <w:pPr>
        <w:pStyle w:val="Listenabsatz"/>
        <w:numPr>
          <w:ilvl w:val="0"/>
          <w:numId w:val="9"/>
        </w:numPr>
      </w:pPr>
      <w:r>
        <w:t>Kooperationsansätze der Wasserunterhaltungsverbände wird begrüßt; h</w:t>
      </w:r>
      <w:r w:rsidR="006D396A" w:rsidRPr="005907E8">
        <w:t>insichtlich der Zuständigkeiten besteht Abstimmungsbedarf</w:t>
      </w:r>
    </w:p>
    <w:p w:rsidR="00CB0743" w:rsidRPr="0025754C" w:rsidRDefault="00CB0743" w:rsidP="00CB0743">
      <w:pPr>
        <w:pStyle w:val="Listenabsatz"/>
      </w:pPr>
    </w:p>
    <w:p w:rsidR="004B77C8" w:rsidRPr="0025754C" w:rsidRDefault="004B77C8" w:rsidP="00CB0743">
      <w:pPr>
        <w:pStyle w:val="Listenabsatz"/>
      </w:pPr>
    </w:p>
    <w:p w:rsidR="008A1869" w:rsidRPr="0025754C" w:rsidRDefault="008A1869">
      <w:pPr>
        <w:rPr>
          <w:b/>
        </w:rPr>
      </w:pPr>
      <w:r w:rsidRPr="0025754C">
        <w:rPr>
          <w:b/>
        </w:rPr>
        <w:t>Ein sozialverträgliches Konzept: Umsiedlungen im Rheinischen Revier</w:t>
      </w:r>
    </w:p>
    <w:p w:rsidR="00F71583" w:rsidRPr="00C34151" w:rsidRDefault="00F71583">
      <w:r w:rsidRPr="00C34151">
        <w:t>Grundsätzliche Abstimmung im Lenkungsausschuss, ob eine Stellungnahme zu</w:t>
      </w:r>
      <w:r w:rsidR="005907E8" w:rsidRPr="00C34151">
        <w:t>m</w:t>
      </w:r>
      <w:r w:rsidRPr="00C34151">
        <w:t xml:space="preserve"> Entscheidungss</w:t>
      </w:r>
      <w:r w:rsidR="005907E8" w:rsidRPr="00C34151">
        <w:t>atz 13</w:t>
      </w:r>
      <w:r w:rsidRPr="00C34151">
        <w:t xml:space="preserve"> erfolgen soll:</w:t>
      </w:r>
    </w:p>
    <w:p w:rsidR="008A1869" w:rsidRPr="00C34151" w:rsidRDefault="008A1869">
      <w:pPr>
        <w:rPr>
          <w:u w:val="single"/>
        </w:rPr>
      </w:pPr>
      <w:r w:rsidRPr="00C34151">
        <w:rPr>
          <w:u w:val="single"/>
        </w:rPr>
        <w:t xml:space="preserve">Entscheidungssatz 13: Umsiedlungen in Erkelenz, Kerpen und </w:t>
      </w:r>
      <w:proofErr w:type="spellStart"/>
      <w:r w:rsidRPr="00C34151">
        <w:rPr>
          <w:u w:val="single"/>
        </w:rPr>
        <w:t>Merzenich</w:t>
      </w:r>
      <w:proofErr w:type="spellEnd"/>
    </w:p>
    <w:p w:rsidR="009451AD" w:rsidRPr="00C34151" w:rsidRDefault="005907E8" w:rsidP="009451AD">
      <w:pPr>
        <w:pStyle w:val="Listenabsatz"/>
        <w:numPr>
          <w:ilvl w:val="0"/>
          <w:numId w:val="10"/>
        </w:numPr>
      </w:pPr>
      <w:r w:rsidRPr="00C34151">
        <w:t>Tatsache, dass der 3. Umsiedlungsabschnitt weiterhin erforderlich ist, wird mit Bedauern zur Kenntnis genommen</w:t>
      </w:r>
    </w:p>
    <w:p w:rsidR="00E92FFC" w:rsidRPr="00C34151" w:rsidRDefault="005907E8" w:rsidP="00E92FFC">
      <w:pPr>
        <w:pStyle w:val="Listenabsatz"/>
        <w:numPr>
          <w:ilvl w:val="0"/>
          <w:numId w:val="10"/>
        </w:numPr>
      </w:pPr>
      <w:r w:rsidRPr="00C34151">
        <w:t>Verlässlichkeit für Umsiedler ist wichtig</w:t>
      </w:r>
    </w:p>
    <w:p w:rsidR="00F71583" w:rsidRPr="005907E8" w:rsidRDefault="00F71583" w:rsidP="00A33EDF"/>
    <w:p w:rsidR="00CB0743" w:rsidRPr="005907E8" w:rsidRDefault="00A33EDF" w:rsidP="00A33EDF">
      <w:pPr>
        <w:rPr>
          <w:u w:val="single"/>
        </w:rPr>
      </w:pPr>
      <w:r w:rsidRPr="005907E8">
        <w:rPr>
          <w:u w:val="single"/>
        </w:rPr>
        <w:t xml:space="preserve">Entscheidungssatz 14:  </w:t>
      </w:r>
      <w:proofErr w:type="spellStart"/>
      <w:r w:rsidRPr="005907E8">
        <w:rPr>
          <w:u w:val="single"/>
        </w:rPr>
        <w:t>M</w:t>
      </w:r>
      <w:r w:rsidR="009451AD">
        <w:rPr>
          <w:u w:val="single"/>
        </w:rPr>
        <w:t>orschenich</w:t>
      </w:r>
      <w:proofErr w:type="spellEnd"/>
      <w:r w:rsidR="009451AD">
        <w:rPr>
          <w:u w:val="single"/>
        </w:rPr>
        <w:t xml:space="preserve"> mit neuer Perspektiv</w:t>
      </w:r>
    </w:p>
    <w:p w:rsidR="00A33EDF" w:rsidRPr="005907E8" w:rsidRDefault="00A33EDF" w:rsidP="00A33EDF">
      <w:pPr>
        <w:pStyle w:val="Listenabsatz"/>
        <w:numPr>
          <w:ilvl w:val="0"/>
          <w:numId w:val="11"/>
        </w:numPr>
      </w:pPr>
      <w:r w:rsidRPr="005907E8">
        <w:t xml:space="preserve">Titel umbenennen: „Holzweiler und </w:t>
      </w:r>
      <w:proofErr w:type="spellStart"/>
      <w:r w:rsidRPr="005907E8">
        <w:t>Morschenich</w:t>
      </w:r>
      <w:proofErr w:type="spellEnd"/>
      <w:r w:rsidRPr="005907E8">
        <w:t xml:space="preserve"> mit neuer Perspektive!“</w:t>
      </w:r>
    </w:p>
    <w:p w:rsidR="00A33EDF" w:rsidRDefault="00A33EDF" w:rsidP="00A33EDF">
      <w:pPr>
        <w:pStyle w:val="Listenabsatz"/>
        <w:numPr>
          <w:ilvl w:val="0"/>
          <w:numId w:val="11"/>
        </w:numPr>
      </w:pPr>
      <w:r w:rsidRPr="005907E8">
        <w:t>Aussagen auf Holzweiler erweitern: Entwicklung von zwei „Orten der Zukunft“ im Rahmen des Wirtschafts- und Strukturprogramms</w:t>
      </w:r>
    </w:p>
    <w:p w:rsidR="009451AD" w:rsidRDefault="009451AD" w:rsidP="00A33EDF">
      <w:pPr>
        <w:pStyle w:val="Listenabsatz"/>
        <w:numPr>
          <w:ilvl w:val="0"/>
          <w:numId w:val="11"/>
        </w:numPr>
      </w:pPr>
      <w:r>
        <w:t>Unterstützung aller Tagebauranddörfer</w:t>
      </w:r>
    </w:p>
    <w:p w:rsidR="007E21F6" w:rsidRDefault="007E21F6" w:rsidP="007E21F6"/>
    <w:p w:rsidR="007E21F6" w:rsidRPr="005907E8" w:rsidRDefault="007E21F6" w:rsidP="007E21F6">
      <w:r>
        <w:t>(Stand 26. Oktober 2020)</w:t>
      </w:r>
    </w:p>
    <w:p w:rsidR="00A33EDF" w:rsidRPr="0025754C" w:rsidRDefault="00A33EDF" w:rsidP="00A33EDF">
      <w:pPr>
        <w:pStyle w:val="Listenabsatz"/>
        <w:rPr>
          <w:u w:val="single"/>
        </w:rPr>
      </w:pPr>
    </w:p>
    <w:p w:rsidR="001F00FA" w:rsidRDefault="001F00FA"/>
    <w:sectPr w:rsidR="001F00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F0559"/>
    <w:multiLevelType w:val="hybridMultilevel"/>
    <w:tmpl w:val="D0584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F158A2"/>
    <w:multiLevelType w:val="hybridMultilevel"/>
    <w:tmpl w:val="72209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7A4E30"/>
    <w:multiLevelType w:val="hybridMultilevel"/>
    <w:tmpl w:val="BBEA82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9F56BC"/>
    <w:multiLevelType w:val="hybridMultilevel"/>
    <w:tmpl w:val="4970A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236922"/>
    <w:multiLevelType w:val="hybridMultilevel"/>
    <w:tmpl w:val="1D128A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3411433"/>
    <w:multiLevelType w:val="hybridMultilevel"/>
    <w:tmpl w:val="135C10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DB0200"/>
    <w:multiLevelType w:val="hybridMultilevel"/>
    <w:tmpl w:val="AF4CA0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95959B1"/>
    <w:multiLevelType w:val="hybridMultilevel"/>
    <w:tmpl w:val="673A7B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99664FA"/>
    <w:multiLevelType w:val="hybridMultilevel"/>
    <w:tmpl w:val="18525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4174FB"/>
    <w:multiLevelType w:val="hybridMultilevel"/>
    <w:tmpl w:val="FAFC53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1227E21"/>
    <w:multiLevelType w:val="hybridMultilevel"/>
    <w:tmpl w:val="2C8C4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7B16CE"/>
    <w:multiLevelType w:val="hybridMultilevel"/>
    <w:tmpl w:val="053049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3"/>
  </w:num>
  <w:num w:numId="5">
    <w:abstractNumId w:val="11"/>
  </w:num>
  <w:num w:numId="6">
    <w:abstractNumId w:val="5"/>
  </w:num>
  <w:num w:numId="7">
    <w:abstractNumId w:val="9"/>
  </w:num>
  <w:num w:numId="8">
    <w:abstractNumId w:val="2"/>
  </w:num>
  <w:num w:numId="9">
    <w:abstractNumId w:val="0"/>
  </w:num>
  <w:num w:numId="10">
    <w:abstractNumId w:val="7"/>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082"/>
    <w:rsid w:val="00004B5A"/>
    <w:rsid w:val="00010049"/>
    <w:rsid w:val="00022BC1"/>
    <w:rsid w:val="000251C2"/>
    <w:rsid w:val="001719C3"/>
    <w:rsid w:val="00196696"/>
    <w:rsid w:val="001E3095"/>
    <w:rsid w:val="001F00FA"/>
    <w:rsid w:val="00240798"/>
    <w:rsid w:val="0025754C"/>
    <w:rsid w:val="002D5B20"/>
    <w:rsid w:val="00312477"/>
    <w:rsid w:val="0042306A"/>
    <w:rsid w:val="00423240"/>
    <w:rsid w:val="00447A9C"/>
    <w:rsid w:val="004B77C8"/>
    <w:rsid w:val="004E3949"/>
    <w:rsid w:val="00515554"/>
    <w:rsid w:val="00562F5A"/>
    <w:rsid w:val="005907E8"/>
    <w:rsid w:val="0061193E"/>
    <w:rsid w:val="00616E97"/>
    <w:rsid w:val="00640C2E"/>
    <w:rsid w:val="00696486"/>
    <w:rsid w:val="006B24CA"/>
    <w:rsid w:val="006D396A"/>
    <w:rsid w:val="006E6082"/>
    <w:rsid w:val="007356D3"/>
    <w:rsid w:val="0077690F"/>
    <w:rsid w:val="007E21F6"/>
    <w:rsid w:val="00825956"/>
    <w:rsid w:val="008415DD"/>
    <w:rsid w:val="0084729D"/>
    <w:rsid w:val="008A04DB"/>
    <w:rsid w:val="008A1869"/>
    <w:rsid w:val="00905120"/>
    <w:rsid w:val="009253EA"/>
    <w:rsid w:val="009451AD"/>
    <w:rsid w:val="009C7A69"/>
    <w:rsid w:val="00A33EDF"/>
    <w:rsid w:val="00A34669"/>
    <w:rsid w:val="00A54F70"/>
    <w:rsid w:val="00A651C7"/>
    <w:rsid w:val="00B3650C"/>
    <w:rsid w:val="00B4718F"/>
    <w:rsid w:val="00B55DCE"/>
    <w:rsid w:val="00BC1A83"/>
    <w:rsid w:val="00BF35CB"/>
    <w:rsid w:val="00BF3E40"/>
    <w:rsid w:val="00C34151"/>
    <w:rsid w:val="00C93205"/>
    <w:rsid w:val="00CB0743"/>
    <w:rsid w:val="00D07A9D"/>
    <w:rsid w:val="00D94974"/>
    <w:rsid w:val="00E21B58"/>
    <w:rsid w:val="00E528C3"/>
    <w:rsid w:val="00E92FFC"/>
    <w:rsid w:val="00EF357D"/>
    <w:rsid w:val="00F71583"/>
    <w:rsid w:val="00FA27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6049E"/>
  <w15:chartTrackingRefBased/>
  <w15:docId w15:val="{0E9315ED-98CA-4E12-B87D-2F95AB80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729D"/>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A2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1165</Words>
  <Characters>7345</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ITK Rheinland</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Mielchen, Volker</dc:creator>
  <cp:keywords/>
  <dc:description/>
  <cp:lastModifiedBy>Eickels, Teresa</cp:lastModifiedBy>
  <cp:revision>14</cp:revision>
  <dcterms:created xsi:type="dcterms:W3CDTF">2020-10-20T09:32:00Z</dcterms:created>
  <dcterms:modified xsi:type="dcterms:W3CDTF">2020-10-26T11:05:00Z</dcterms:modified>
</cp:coreProperties>
</file>